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C24B7" w14:textId="0920C84B" w:rsidR="35429B16" w:rsidRDefault="35429B16" w:rsidP="744227FB">
      <w:pPr>
        <w:spacing w:line="259" w:lineRule="auto"/>
        <w:rPr>
          <w:b/>
          <w:bCs/>
          <w:u w:val="single"/>
        </w:rPr>
      </w:pPr>
      <w:r w:rsidRPr="744227FB">
        <w:rPr>
          <w:b/>
          <w:bCs/>
          <w:u w:val="single"/>
        </w:rPr>
        <w:t>Appendix 1 – Q3 Summary Data</w:t>
      </w:r>
    </w:p>
    <w:p w14:paraId="1F31272C" w14:textId="4B7F37B8" w:rsidR="744227FB" w:rsidRDefault="744227FB"/>
    <w:tbl>
      <w:tblPr>
        <w:tblW w:w="13500" w:type="dxa"/>
        <w:tblInd w:w="123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947"/>
        <w:gridCol w:w="4418"/>
        <w:gridCol w:w="1189"/>
        <w:gridCol w:w="1224"/>
        <w:gridCol w:w="1574"/>
        <w:gridCol w:w="1574"/>
        <w:gridCol w:w="1574"/>
      </w:tblGrid>
      <w:tr w:rsidR="00CB0812" w:rsidRPr="0018139A" w14:paraId="6B888BC0" w14:textId="77777777" w:rsidTr="00A67BEB">
        <w:trPr>
          <w:trHeight w:val="630"/>
        </w:trPr>
        <w:tc>
          <w:tcPr>
            <w:tcW w:w="194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36057087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Workstream</w:t>
            </w:r>
          </w:p>
        </w:tc>
        <w:tc>
          <w:tcPr>
            <w:tcW w:w="441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09BAAEC8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Performance indicator</w:t>
            </w:r>
          </w:p>
        </w:tc>
        <w:tc>
          <w:tcPr>
            <w:tcW w:w="1189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59CFE9EC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 xml:space="preserve">Target </w:t>
            </w:r>
          </w:p>
        </w:tc>
        <w:tc>
          <w:tcPr>
            <w:tcW w:w="1224" w:type="dxa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184DF694" w14:textId="1357B050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Target</w:t>
            </w:r>
          </w:p>
        </w:tc>
        <w:tc>
          <w:tcPr>
            <w:tcW w:w="157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01F93834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2024/25</w:t>
            </w:r>
          </w:p>
        </w:tc>
        <w:tc>
          <w:tcPr>
            <w:tcW w:w="157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50EDCB5A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2024/25</w:t>
            </w:r>
          </w:p>
        </w:tc>
        <w:tc>
          <w:tcPr>
            <w:tcW w:w="157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4D9F18D5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2024/25</w:t>
            </w:r>
          </w:p>
        </w:tc>
      </w:tr>
      <w:tr w:rsidR="00CB0812" w:rsidRPr="0018139A" w14:paraId="47CD2C54" w14:textId="77777777" w:rsidTr="00A67BEB">
        <w:trPr>
          <w:trHeight w:val="540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706645EC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 xml:space="preserve">(TSM measure) </w:t>
            </w:r>
          </w:p>
        </w:tc>
        <w:tc>
          <w:tcPr>
            <w:tcW w:w="4418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1E9574A2" w14:textId="77777777" w:rsidR="00CB0812" w:rsidRPr="0018139A" w:rsidRDefault="00CB0812" w:rsidP="0018139A">
            <w:pPr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</w:p>
        </w:tc>
        <w:tc>
          <w:tcPr>
            <w:tcW w:w="1189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6A8351A" w14:textId="77777777" w:rsidR="00CB0812" w:rsidRPr="0018139A" w:rsidRDefault="00CB0812" w:rsidP="0018139A">
            <w:pPr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</w:p>
        </w:tc>
        <w:tc>
          <w:tcPr>
            <w:tcW w:w="1224" w:type="dxa"/>
            <w:vMerge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5E0A26DF" w14:textId="001ACFC8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46821F97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 xml:space="preserve">Q1 – average compliance 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0902B0E3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Q2 – average compliance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13417F"/>
            <w:vAlign w:val="center"/>
            <w:hideMark/>
          </w:tcPr>
          <w:p w14:paraId="47489D73" w14:textId="77777777" w:rsidR="00CB0812" w:rsidRPr="0018139A" w:rsidRDefault="00CB0812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Q3 – average compliance</w:t>
            </w:r>
          </w:p>
        </w:tc>
      </w:tr>
      <w:tr w:rsidR="00A96371" w:rsidRPr="0018139A" w14:paraId="4E15A517" w14:textId="77777777" w:rsidTr="00A96371">
        <w:trPr>
          <w:trHeight w:val="960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252A6D6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Area of compliance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67B3EEE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Description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7CE199C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Compliance target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75D5D43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Total Annual Amount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273B294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Ave. across April, May, June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23AC81C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Ave. across July, Aug, Sept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BE5F1"/>
            <w:vAlign w:val="center"/>
            <w:hideMark/>
          </w:tcPr>
          <w:p w14:paraId="2BFAC2F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0"/>
                <w:szCs w:val="20"/>
                <w:lang w:eastAsia="en-GB"/>
              </w:rPr>
              <w:t>Ave. across Oct, Nov, Dec</w:t>
            </w:r>
          </w:p>
        </w:tc>
      </w:tr>
      <w:tr w:rsidR="0018139A" w:rsidRPr="0018139A" w14:paraId="535AE279" w14:textId="77777777" w:rsidTr="00A96371">
        <w:trPr>
          <w:trHeight w:val="1290"/>
        </w:trPr>
        <w:tc>
          <w:tcPr>
            <w:tcW w:w="194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2F6B41C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  <w:t>Gas safety - Social Housing Stock</w:t>
            </w:r>
          </w:p>
        </w:tc>
        <w:tc>
          <w:tcPr>
            <w:tcW w:w="441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40C6D0F3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% domestic properties (with gas appliances with a valid LGSR)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264ABE7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1C7999F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7015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013B40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EEE459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2D050"/>
            <w:vAlign w:val="center"/>
            <w:hideMark/>
          </w:tcPr>
          <w:p w14:paraId="65F06B8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3DB34010" w14:textId="77777777" w:rsidTr="00A96371">
        <w:trPr>
          <w:trHeight w:val="1215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0AF12F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</w:pPr>
          </w:p>
        </w:tc>
        <w:tc>
          <w:tcPr>
            <w:tcW w:w="4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776C9B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% gas carcasses (with no gas appliances) with a valid LGSR) 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248E3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C7020E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19</w:t>
            </w:r>
          </w:p>
        </w:tc>
        <w:tc>
          <w:tcPr>
            <w:tcW w:w="157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4AA363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0EF046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7C89634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6F594541" w14:textId="77777777" w:rsidTr="00A96371">
        <w:trPr>
          <w:trHeight w:val="1170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0AD7D8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  <w:t>Gas safety (Private Sector Leased)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AB67EF6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% domestic properties (with gas appliances) with a valid LGSR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317D0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3976C2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4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31E28B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70C753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3FA2B3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31041C79" w14:textId="77777777" w:rsidTr="00A96371">
        <w:trPr>
          <w:trHeight w:val="1005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EC2D21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  <w:t>Gas Safety social housing (boiler houses)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30373FC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% HRA communal boiler sites (i.e district and communal heating systems with a valid CP15)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854F0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335C07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27</w:t>
            </w:r>
          </w:p>
        </w:tc>
        <w:tc>
          <w:tcPr>
            <w:tcW w:w="157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02692C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72D93FB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36F545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51D1BAAC" w14:textId="77777777" w:rsidTr="00A96371">
        <w:trPr>
          <w:trHeight w:val="1590"/>
        </w:trPr>
        <w:tc>
          <w:tcPr>
            <w:tcW w:w="194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05C519A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  <w:t>Electrical compliance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5754739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% of domestic sites with a compliant status (ie satisfactory EICR, 5 year EIC) 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F3A3AB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7EB2C4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7924</w:t>
            </w:r>
          </w:p>
        </w:tc>
        <w:tc>
          <w:tcPr>
            <w:tcW w:w="157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C000"/>
            <w:vAlign w:val="center"/>
            <w:hideMark/>
          </w:tcPr>
          <w:p w14:paraId="440DDF81" w14:textId="77777777" w:rsidR="0018139A" w:rsidRPr="0018139A" w:rsidRDefault="0018139A" w:rsidP="0018139A">
            <w:pPr>
              <w:ind w:firstLineChars="100" w:firstLine="22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91.66%</w:t>
            </w:r>
          </w:p>
        </w:tc>
        <w:tc>
          <w:tcPr>
            <w:tcW w:w="1574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000000" w:fill="FFC000"/>
            <w:vAlign w:val="center"/>
            <w:hideMark/>
          </w:tcPr>
          <w:p w14:paraId="6344378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93.25%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4B13CDF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94.60%</w:t>
            </w:r>
          </w:p>
        </w:tc>
      </w:tr>
      <w:tr w:rsidR="0018139A" w:rsidRPr="0018139A" w14:paraId="37B4EB0D" w14:textId="77777777" w:rsidTr="00A96371">
        <w:trPr>
          <w:trHeight w:val="228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75F343EE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81ED70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% of communal sites with a compliant status (ie satisfactory EICR, 5 year EIC) (including Satellite offices &amp; boiler houses)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7E8B6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8B78EB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404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04EBE71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98.50%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690C3B0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98.70%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15429E05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99.34%</w:t>
            </w:r>
          </w:p>
        </w:tc>
      </w:tr>
      <w:tr w:rsidR="0018139A" w:rsidRPr="0018139A" w14:paraId="3C3289AE" w14:textId="77777777" w:rsidTr="00A96371">
        <w:trPr>
          <w:trHeight w:val="1230"/>
        </w:trPr>
        <w:tc>
          <w:tcPr>
            <w:tcW w:w="19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32AA2545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>Electrical compliance (Private Sector Leased)</w:t>
            </w:r>
          </w:p>
        </w:tc>
        <w:tc>
          <w:tcPr>
            <w:tcW w:w="441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44648FD9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domestic sites with a compliant status (ie satisfactory EICR, 5 year EIC, In-date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0EF521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582E446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8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2022445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736152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60D73C5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1A5D8DF7" w14:textId="77777777" w:rsidTr="00A96371">
        <w:trPr>
          <w:trHeight w:val="1125"/>
        </w:trPr>
        <w:tc>
          <w:tcPr>
            <w:tcW w:w="19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9D8BB4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  <w:t>Smoke Alarms</w:t>
            </w:r>
          </w:p>
        </w:tc>
        <w:tc>
          <w:tcPr>
            <w:tcW w:w="4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A94FE7E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333333"/>
                <w:sz w:val="23"/>
                <w:szCs w:val="23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333333"/>
                <w:sz w:val="23"/>
                <w:szCs w:val="23"/>
                <w:lang w:eastAsia="en-GB"/>
              </w:rPr>
              <w:t>Properties with working of Smoke Alarms, from EICR, LGSR or void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F3D2B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E746A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Variable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678ECA9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6BFECCC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90405C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7219B011" w14:textId="77777777" w:rsidTr="00A96371">
        <w:trPr>
          <w:trHeight w:val="1185"/>
        </w:trPr>
        <w:tc>
          <w:tcPr>
            <w:tcW w:w="19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21BEFD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  <w:t>Carbon Alarms</w:t>
            </w:r>
          </w:p>
        </w:tc>
        <w:tc>
          <w:tcPr>
            <w:tcW w:w="4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4CC939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333333"/>
                <w:sz w:val="23"/>
                <w:szCs w:val="23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333333"/>
                <w:sz w:val="23"/>
                <w:szCs w:val="23"/>
                <w:lang w:eastAsia="en-GB"/>
              </w:rPr>
              <w:t>Properties with confirmed working of Carbon Monoxide alarms.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746360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B93C39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Variable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EC4882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74A6F3B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3DF8C6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507E574F" w14:textId="77777777" w:rsidTr="00A96371">
        <w:trPr>
          <w:trHeight w:val="1290"/>
        </w:trPr>
        <w:tc>
          <w:tcPr>
            <w:tcW w:w="1947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5E8470E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 xml:space="preserve">Fire Safety </w:t>
            </w:r>
            <w:r w:rsidRPr="0018139A">
              <w:rPr>
                <w:rFonts w:ascii="Calibri" w:eastAsia="Times New Roman" w:hAnsi="Calibri" w:cs="Calibri"/>
                <w:b/>
                <w:bCs/>
                <w:color w:val="FF0000"/>
                <w:sz w:val="22"/>
                <w:szCs w:val="22"/>
                <w:lang w:eastAsia="en-GB"/>
              </w:rPr>
              <w:t>(TSM BS02)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9EC9AD9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% of emergency lighting sites with a compliant status (ie passed certificate for 3hr annual drain down test)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4FD488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3D3564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335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7DA0C9D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49.50%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1C6C08D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62.33%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779CABF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99.81%</w:t>
            </w:r>
          </w:p>
        </w:tc>
      </w:tr>
      <w:tr w:rsidR="0018139A" w:rsidRPr="0018139A" w14:paraId="33570AA2" w14:textId="77777777" w:rsidTr="00A96371">
        <w:trPr>
          <w:trHeight w:val="2130"/>
        </w:trPr>
        <w:tc>
          <w:tcPr>
            <w:tcW w:w="194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19E84240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E424ED6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% of sites (High-Med-Low rise, sheltered, storage, hostels, boiler houses) with a valid fire risk assessment 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0D773C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81AC39" w14:textId="03D45C0A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49</w:t>
            </w:r>
            <w:r w:rsidR="006760A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8</w:t>
            </w: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br/>
              <w:t>(HRA FRA's)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2DB90E7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99.00%</w:t>
            </w:r>
          </w:p>
        </w:tc>
        <w:tc>
          <w:tcPr>
            <w:tcW w:w="157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2F6D3D4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98.50%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CD3C5C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100.00%</w:t>
            </w:r>
          </w:p>
        </w:tc>
      </w:tr>
      <w:tr w:rsidR="0018139A" w:rsidRPr="0018139A" w14:paraId="1AFB91D0" w14:textId="77777777" w:rsidTr="00A96371">
        <w:trPr>
          <w:trHeight w:val="3120"/>
        </w:trPr>
        <w:tc>
          <w:tcPr>
            <w:tcW w:w="194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2D3FAA31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E70DC4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actions which are not overdue past FRA recommended timeframe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ABED49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EEDEE8" w14:textId="7853702D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49</w:t>
            </w:r>
            <w:r w:rsidR="006760A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8</w:t>
            </w: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br/>
              <w:t>(HRA FRA's)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07EA1E4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79.51%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3B988C3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72.75%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6649096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50.71%</w:t>
            </w:r>
          </w:p>
        </w:tc>
      </w:tr>
      <w:tr w:rsidR="0018139A" w:rsidRPr="0018139A" w14:paraId="69A03F7B" w14:textId="77777777" w:rsidTr="00A96371">
        <w:trPr>
          <w:trHeight w:val="1620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158BA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>Fire Alarms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9BCDF4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% of HRA fire alarms sites (communal, domestic, satellite offices, hostel, TA, sheltered) with compliant 3 monthly periodic inspection 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38D14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FC136C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65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725F740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85.67%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52F2A3B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79.59%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4180148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93.34%</w:t>
            </w:r>
          </w:p>
        </w:tc>
      </w:tr>
      <w:tr w:rsidR="0018139A" w:rsidRPr="0018139A" w14:paraId="286F0D18" w14:textId="77777777" w:rsidTr="00A96371">
        <w:trPr>
          <w:trHeight w:val="1860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3B0339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  <w:t>Dry risers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9B8F76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dry risers (general needs + sheltered buildings) with a certificate of conformity and received twice yearly compliance visits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7F7534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429B1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26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54459CF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94.00%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DA2E1F5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3CC3390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100.00%</w:t>
            </w:r>
          </w:p>
        </w:tc>
      </w:tr>
      <w:tr w:rsidR="0018139A" w:rsidRPr="0018139A" w14:paraId="314B8AFB" w14:textId="77777777" w:rsidTr="00A96371">
        <w:trPr>
          <w:trHeight w:val="2235"/>
        </w:trPr>
        <w:tc>
          <w:tcPr>
            <w:tcW w:w="19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75625D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>Lightning Protection Systems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EF76873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% of lighting protection systems (general needs and sheltered sites tested with 11 months) 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46EE37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  <w:hideMark/>
          </w:tcPr>
          <w:p w14:paraId="2D18FDF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13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32D4776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BF56F8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31C36D7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66.67</w:t>
            </w:r>
          </w:p>
        </w:tc>
      </w:tr>
      <w:tr w:rsidR="0018139A" w:rsidRPr="0018139A" w14:paraId="2EF45981" w14:textId="77777777" w:rsidTr="00A96371">
        <w:trPr>
          <w:trHeight w:val="1500"/>
        </w:trPr>
        <w:tc>
          <w:tcPr>
            <w:tcW w:w="194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3A1F98B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lang w:eastAsia="en-GB"/>
              </w:rPr>
              <w:t xml:space="preserve">Asbestos </w:t>
            </w:r>
            <w:r w:rsidRPr="0018139A"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  <w:t>(TSM BS03)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932CD5E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HRA communal areas with a compliant communal inspection report including satellite offices &amp; boiler houses</w:t>
            </w:r>
          </w:p>
        </w:tc>
        <w:tc>
          <w:tcPr>
            <w:tcW w:w="11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CFD7905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0318A7E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615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63EE491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777FBF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6108F03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99.78%</w:t>
            </w:r>
          </w:p>
        </w:tc>
      </w:tr>
      <w:tr w:rsidR="0018139A" w:rsidRPr="0018139A" w14:paraId="2497A495" w14:textId="77777777" w:rsidTr="00A96371">
        <w:trPr>
          <w:trHeight w:val="1530"/>
        </w:trPr>
        <w:tc>
          <w:tcPr>
            <w:tcW w:w="194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F1A767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 xml:space="preserve">Legionella risk assessments and water quality </w:t>
            </w:r>
            <w:r w:rsidRPr="0018139A">
              <w:rPr>
                <w:rFonts w:ascii="Calibri" w:eastAsia="Times New Roman" w:hAnsi="Calibri" w:cs="Calibri"/>
                <w:b/>
                <w:bCs/>
                <w:color w:val="FF0000"/>
                <w:sz w:val="22"/>
                <w:szCs w:val="22"/>
                <w:lang w:eastAsia="en-GB"/>
              </w:rPr>
              <w:t>(TSM BS04)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53E98F4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sites (HRA Housing communal cold-water tanks, Sheltered, HPUs, Boosted-water sites) with a valid risk assessment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D7EA2A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E31DA1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510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988C23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E90207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A3B00B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2D866BAA" w14:textId="77777777" w:rsidTr="00A96371">
        <w:trPr>
          <w:trHeight w:val="135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891A6C4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6B7A7B6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actions completed within RA recommended timeframes. [NOTE - Actions Performance Indicator]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EA9CA4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2C20BD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Variable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394D0F3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99.00%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C4DC88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F14016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38FCEA77" w14:textId="77777777" w:rsidTr="00A96371">
        <w:trPr>
          <w:trHeight w:val="1515"/>
        </w:trPr>
        <w:tc>
          <w:tcPr>
            <w:tcW w:w="194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4E7A481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 xml:space="preserve">Lifts </w:t>
            </w:r>
            <w:r w:rsidRPr="0018139A">
              <w:rPr>
                <w:rFonts w:ascii="Calibri" w:eastAsia="Times New Roman" w:hAnsi="Calibri" w:cs="Calibri"/>
                <w:b/>
                <w:bCs/>
                <w:color w:val="FF0000"/>
                <w:sz w:val="22"/>
                <w:szCs w:val="22"/>
                <w:lang w:eastAsia="en-GB"/>
              </w:rPr>
              <w:t>(TSM BS05)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2CAE3A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site with passenger lifts (General Needs, Sheltered, Operational Sites, HPU) with insurance inspection compliancy. (Temporary accomodation)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124BFA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9D89E8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28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64600A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694C03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39FEAB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2581F27F" w14:textId="77777777" w:rsidTr="00A96371">
        <w:trPr>
          <w:trHeight w:val="159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59BBAB99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FB2FAA8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% of sites with monthly service and maintenance visits undertaken. [NOTE - Servicing Performance Indicator] (Council stock)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46ABF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240E22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31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E30B27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D3B068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C7527B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7DBA983B" w14:textId="77777777" w:rsidTr="00A96371">
        <w:trPr>
          <w:trHeight w:val="1590"/>
        </w:trPr>
        <w:tc>
          <w:tcPr>
            <w:tcW w:w="194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0540C98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  <w:t>Stair lifts + other equipment [Adaptations]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17F2BC3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of stair lifts with 6 monthly</w:t>
            </w:r>
            <w:r w:rsidRPr="0018139A">
              <w:rPr>
                <w:rFonts w:ascii="Calibri" w:eastAsia="Times New Roman" w:hAnsi="Calibri" w:cs="Calibri"/>
                <w:color w:val="FF0000"/>
                <w:lang w:eastAsia="en-GB"/>
              </w:rPr>
              <w:t xml:space="preserve"> </w:t>
            </w: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service and maintenance visits undertaken. [NOTE - Servicing Performance Indicator] (Council stock)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6BE9FC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A0430C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194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DD0A8A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8E1C3B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281D0E4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94.50%</w:t>
            </w:r>
          </w:p>
        </w:tc>
      </w:tr>
      <w:tr w:rsidR="0018139A" w:rsidRPr="0018139A" w14:paraId="3A69FEF4" w14:textId="77777777" w:rsidTr="00A96371">
        <w:trPr>
          <w:trHeight w:val="159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7A6EFDBA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F08B0CD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of stairlifts with thorough inspection compliancy (Council stock, insurance) annually.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B734F0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71ACE13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6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1048007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50.00%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3546FC8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50.00%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7F53517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469533DD" w14:textId="77777777" w:rsidTr="00A96371">
        <w:trPr>
          <w:trHeight w:val="129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0F66A8B1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0623DCD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of other equipment (i.e. runways(25), Anchor Point (5) hoist(1), bath lifts(0) and slings (0)) with LOLER inspection compliancy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3E9E7D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3F6F30F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31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27B7419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91.14%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0000"/>
            <w:vAlign w:val="center"/>
            <w:hideMark/>
          </w:tcPr>
          <w:p w14:paraId="3C5CE67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58.33%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3037465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100.00%</w:t>
            </w:r>
          </w:p>
        </w:tc>
      </w:tr>
      <w:tr w:rsidR="0018139A" w:rsidRPr="0018139A" w14:paraId="7DA10A17" w14:textId="77777777" w:rsidTr="00A96371">
        <w:trPr>
          <w:trHeight w:val="129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4F371B6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8204C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A5E377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of other equipment with 6 monthly or annual service and maintenance visits undertaken. [NOTE - Servicing Performance Indicator]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81F29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0343A2E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28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54CE60C6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87.54%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0C635D62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73.55%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B022DB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602E0D0E" w14:textId="77777777" w:rsidTr="00A96371">
        <w:trPr>
          <w:trHeight w:val="1560"/>
        </w:trPr>
        <w:tc>
          <w:tcPr>
            <w:tcW w:w="19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260D062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  <w:t>Barriers, gates and bollards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CB29C86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HRA automated barriers and gates (across general needs, sheltered, operational sites) with a RA &amp; planned preventative maintenance carried out bi-annually.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2BB90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7659D5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8204C"/>
                <w:sz w:val="22"/>
                <w:szCs w:val="22"/>
                <w:lang w:eastAsia="en-GB"/>
              </w:rPr>
              <w:t>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05269CD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N/A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34B1AAB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N/A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EEF5F7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N/A</w:t>
            </w:r>
          </w:p>
        </w:tc>
      </w:tr>
      <w:tr w:rsidR="0018139A" w:rsidRPr="0018139A" w14:paraId="785601C4" w14:textId="77777777" w:rsidTr="00A96371">
        <w:trPr>
          <w:trHeight w:val="1800"/>
        </w:trPr>
        <w:tc>
          <w:tcPr>
            <w:tcW w:w="194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61B7AE1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  <w:t>Play sites</w:t>
            </w: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E9ED104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of HRA play sites with an independent annual inspection report.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C581C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D10D51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13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39CC6BE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7253BFB3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1EE26D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008D14AC" w14:textId="77777777" w:rsidTr="00A96371">
        <w:trPr>
          <w:trHeight w:val="1350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168EA45B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943FD1D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% of HRA play sites with an bi-monthly operational inspection report.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523B5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DBC6C7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13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309A4A4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A215ED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5D40230A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356FE3C7" w14:textId="77777777" w:rsidTr="00440152">
        <w:trPr>
          <w:trHeight w:val="1485"/>
        </w:trPr>
        <w:tc>
          <w:tcPr>
            <w:tcW w:w="1947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3F5EBC63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06DFAC2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Number of urgent actions outstanding. [NOTE - Actions Performance Indicator]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39ACC9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DA6595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Responsive KPI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1BEFD0F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C000"/>
            <w:vAlign w:val="center"/>
            <w:hideMark/>
          </w:tcPr>
          <w:p w14:paraId="36FEEBD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95.24%</w:t>
            </w:r>
          </w:p>
        </w:tc>
        <w:tc>
          <w:tcPr>
            <w:tcW w:w="157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6CA9495A" w14:textId="28D9843A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</w:p>
        </w:tc>
      </w:tr>
      <w:tr w:rsidR="0018139A" w:rsidRPr="0018139A" w14:paraId="1DD378AD" w14:textId="77777777" w:rsidTr="00A96371">
        <w:trPr>
          <w:trHeight w:val="1230"/>
        </w:trPr>
        <w:tc>
          <w:tcPr>
            <w:tcW w:w="1947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20821A4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  <w:t xml:space="preserve">Damp and Mould </w:t>
            </w:r>
          </w:p>
        </w:tc>
        <w:tc>
          <w:tcPr>
            <w:tcW w:w="4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A377049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Responding effectively to reports of damp and mould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DB6D78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C038357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Responsive KPI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DD26611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2BA25C44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0EBA5820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1875DF6C" w14:textId="77777777" w:rsidTr="00A96371">
        <w:trPr>
          <w:trHeight w:val="1200"/>
        </w:trPr>
        <w:tc>
          <w:tcPr>
            <w:tcW w:w="194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54C94F66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9F7F1FE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(% of enquiries resolved in a year) – incl. council TA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0B735E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A55ABA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Responsive KPI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43A7CD1C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17748D1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center"/>
            <w:hideMark/>
          </w:tcPr>
          <w:p w14:paraId="6D5607CB" w14:textId="77777777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100%</w:t>
            </w:r>
          </w:p>
        </w:tc>
      </w:tr>
      <w:tr w:rsidR="0018139A" w:rsidRPr="0018139A" w14:paraId="0930EBA8" w14:textId="77777777" w:rsidTr="00A96371">
        <w:trPr>
          <w:trHeight w:val="1440"/>
        </w:trPr>
        <w:tc>
          <w:tcPr>
            <w:tcW w:w="194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7D0902A1" w14:textId="77777777" w:rsidR="0018139A" w:rsidRPr="0018139A" w:rsidRDefault="0018139A" w:rsidP="0018139A">
            <w:pPr>
              <w:rPr>
                <w:rFonts w:ascii="Calibri" w:eastAsia="Times New Roman" w:hAnsi="Calibri" w:cs="Calibri"/>
                <w:b/>
                <w:bCs/>
                <w:color w:val="002060"/>
                <w:sz w:val="22"/>
                <w:szCs w:val="22"/>
                <w:lang w:eastAsia="en-GB"/>
              </w:rPr>
            </w:pPr>
          </w:p>
        </w:tc>
        <w:tc>
          <w:tcPr>
            <w:tcW w:w="441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B6D6DE" w14:textId="77777777" w:rsidR="0018139A" w:rsidRPr="0018139A" w:rsidRDefault="0018139A" w:rsidP="0018139A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8139A">
              <w:rPr>
                <w:rFonts w:ascii="Calibri" w:eastAsia="Times New Roman" w:hAnsi="Calibri" w:cs="Calibri"/>
                <w:color w:val="000000"/>
                <w:lang w:eastAsia="en-GB"/>
              </w:rPr>
              <w:t>Investing in our stock to prevent damp and mould by installing Smart Link monitors, when identified (number of properties improved in a year)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A5DF091" w14:textId="22A1353B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E2D66D" w14:textId="05172923" w:rsidR="0018139A" w:rsidRPr="0018139A" w:rsidRDefault="0018139A" w:rsidP="0018139A">
            <w:pPr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948CEB7" w14:textId="44668EC1" w:rsidR="0018139A" w:rsidRPr="0018139A" w:rsidRDefault="0018139A" w:rsidP="0018139A">
            <w:pPr>
              <w:jc w:val="center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92F2862" w14:textId="7D192258" w:rsidR="0018139A" w:rsidRPr="0018139A" w:rsidRDefault="0018139A" w:rsidP="0018139A">
            <w:pPr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12D12A5" w14:textId="6564BAA6" w:rsidR="0018139A" w:rsidRPr="0018139A" w:rsidRDefault="0018139A" w:rsidP="0018139A">
            <w:pPr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</w:p>
        </w:tc>
      </w:tr>
    </w:tbl>
    <w:p w14:paraId="3D772E13" w14:textId="59A2456F" w:rsidR="744227FB" w:rsidRDefault="744227FB"/>
    <w:sectPr w:rsidR="744227FB" w:rsidSect="00E25815">
      <w:pgSz w:w="16838" w:h="23811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25815"/>
    <w:rsid w:val="000B4310"/>
    <w:rsid w:val="000D36E0"/>
    <w:rsid w:val="0018139A"/>
    <w:rsid w:val="00192F54"/>
    <w:rsid w:val="003C2980"/>
    <w:rsid w:val="004000D7"/>
    <w:rsid w:val="00440152"/>
    <w:rsid w:val="00504E43"/>
    <w:rsid w:val="005F17FD"/>
    <w:rsid w:val="006129F8"/>
    <w:rsid w:val="006760A3"/>
    <w:rsid w:val="007908F4"/>
    <w:rsid w:val="007C03F2"/>
    <w:rsid w:val="008A22C6"/>
    <w:rsid w:val="00A308A7"/>
    <w:rsid w:val="00A96371"/>
    <w:rsid w:val="00C07F80"/>
    <w:rsid w:val="00CB0812"/>
    <w:rsid w:val="00E25815"/>
    <w:rsid w:val="00FD3A85"/>
    <w:rsid w:val="21E524A6"/>
    <w:rsid w:val="35429B16"/>
    <w:rsid w:val="74422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A77202"/>
  <w15:chartTrackingRefBased/>
  <w15:docId w15:val="{AFB4B2D7-C7C3-4AD4-8B83-727A48101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101">
    <w:name w:val="font101"/>
    <w:basedOn w:val="DefaultParagraphFont"/>
    <w:rsid w:val="0018139A"/>
    <w:rPr>
      <w:rFonts w:ascii="Calibri" w:hAnsi="Calibri" w:cs="Calibri" w:hint="default"/>
      <w:b/>
      <w:bCs/>
      <w:i w:val="0"/>
      <w:iCs w:val="0"/>
      <w:strike w:val="0"/>
      <w:dstrike w:val="0"/>
      <w:color w:val="08204C"/>
      <w:sz w:val="22"/>
      <w:szCs w:val="22"/>
      <w:u w:val="none"/>
      <w:effect w:val="none"/>
    </w:rPr>
  </w:style>
  <w:style w:type="character" w:customStyle="1" w:styleId="font131">
    <w:name w:val="font131"/>
    <w:basedOn w:val="DefaultParagraphFont"/>
    <w:rsid w:val="0018139A"/>
    <w:rPr>
      <w:rFonts w:ascii="Calibri" w:hAnsi="Calibri" w:cs="Calibri" w:hint="default"/>
      <w:b/>
      <w:bCs/>
      <w:i w:val="0"/>
      <w:iCs w:val="0"/>
      <w:strike w:val="0"/>
      <w:dstrike w:val="0"/>
      <w:color w:val="FF0000"/>
      <w:sz w:val="22"/>
      <w:szCs w:val="22"/>
      <w:u w:val="none"/>
      <w:effect w:val="none"/>
    </w:rPr>
  </w:style>
  <w:style w:type="character" w:customStyle="1" w:styleId="font371">
    <w:name w:val="font371"/>
    <w:basedOn w:val="DefaultParagraphFont"/>
    <w:rsid w:val="0018139A"/>
    <w:rPr>
      <w:rFonts w:ascii="Calibri" w:hAnsi="Calibri" w:cs="Calibri" w:hint="default"/>
      <w:b/>
      <w:bCs/>
      <w:i w:val="0"/>
      <w:iCs w:val="0"/>
      <w:strike w:val="0"/>
      <w:dstrike w:val="0"/>
      <w:color w:val="FF0000"/>
      <w:sz w:val="24"/>
      <w:szCs w:val="24"/>
      <w:u w:val="none"/>
      <w:effect w:val="none"/>
    </w:rPr>
  </w:style>
  <w:style w:type="character" w:customStyle="1" w:styleId="font401">
    <w:name w:val="font401"/>
    <w:basedOn w:val="DefaultParagraphFont"/>
    <w:rsid w:val="0018139A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customStyle="1" w:styleId="font411">
    <w:name w:val="font411"/>
    <w:basedOn w:val="DefaultParagraphFont"/>
    <w:rsid w:val="0018139A"/>
    <w:rPr>
      <w:rFonts w:ascii="Calibri" w:hAnsi="Calibri" w:cs="Calibri" w:hint="default"/>
      <w:b w:val="0"/>
      <w:bCs w:val="0"/>
      <w:i w:val="0"/>
      <w:iCs w:val="0"/>
      <w:strike w:val="0"/>
      <w:dstrike w:val="0"/>
      <w:color w:val="FF0000"/>
      <w:sz w:val="24"/>
      <w:szCs w:val="24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87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62D5D-6CE6-4A9D-AFC0-4B407EBC8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707</Words>
  <Characters>4033</Characters>
  <Application>Microsoft Office Word</Application>
  <DocSecurity>0</DocSecurity>
  <Lines>33</Lines>
  <Paragraphs>9</Paragraphs>
  <ScaleCrop>false</ScaleCrop>
  <Company>Oxford City Council</Company>
  <LinksUpToDate>false</LinksUpToDate>
  <CharactersWithSpaces>4731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PEEK Malcolm</dc:creator>
  <cp:keywords/>
  <dc:description/>
  <cp:lastModifiedBy>CLEAVER Paul</cp:lastModifiedBy>
  <cp:revision>6</cp:revision>
  <dcterms:created xsi:type="dcterms:W3CDTF">2025-02-25T15:36:00Z</dcterms:created>
  <dcterms:modified xsi:type="dcterms:W3CDTF">2025-02-25T15:48:00Z</dcterms:modified>
</cp:coreProperties>
</file>